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9E341" w14:textId="384041D6" w:rsidR="00C87390" w:rsidRPr="00371081" w:rsidRDefault="00C87390" w:rsidP="00562386">
      <w:pPr>
        <w:pStyle w:val="NormalWeb"/>
        <w:jc w:val="center"/>
        <w:rPr>
          <w:b/>
          <w:bCs/>
          <w:color w:val="FF0000"/>
        </w:rPr>
      </w:pPr>
      <w:r w:rsidRPr="00371081">
        <w:rPr>
          <w:b/>
          <w:bCs/>
          <w:color w:val="FF0000"/>
        </w:rPr>
        <w:t>Compte rendu réunion Attac du 05/02/2024</w:t>
      </w:r>
    </w:p>
    <w:p w14:paraId="620BCDC2" w14:textId="4BC7230F" w:rsidR="00C87390" w:rsidRPr="00CF51F5" w:rsidRDefault="00C87390" w:rsidP="00B329C3">
      <w:pPr>
        <w:pStyle w:val="NormalWeb"/>
        <w:rPr>
          <w:b/>
          <w:bCs/>
          <w:sz w:val="22"/>
          <w:szCs w:val="22"/>
          <w:u w:val="single"/>
        </w:rPr>
      </w:pPr>
      <w:r w:rsidRPr="00CF51F5">
        <w:rPr>
          <w:b/>
          <w:bCs/>
          <w:sz w:val="22"/>
          <w:szCs w:val="22"/>
          <w:u w:val="single"/>
        </w:rPr>
        <w:t>L’eau : l’eau sanitaire ; l’eau arrosage ; l’eau de boisson :</w:t>
      </w:r>
    </w:p>
    <w:p w14:paraId="61DADF92" w14:textId="7E035CCB" w:rsidR="00B329C3" w:rsidRPr="00CF51F5" w:rsidRDefault="00B329C3" w:rsidP="00B329C3">
      <w:pPr>
        <w:pStyle w:val="NormalWeb"/>
        <w:rPr>
          <w:sz w:val="22"/>
          <w:szCs w:val="22"/>
        </w:rPr>
      </w:pPr>
      <w:r w:rsidRPr="00CF51F5">
        <w:rPr>
          <w:sz w:val="22"/>
          <w:szCs w:val="22"/>
        </w:rPr>
        <w:t xml:space="preserve">Le début d’un scandale sanitaire, le Watergate de l’eau, révélé par la cellule Investigation de Radio France. En résumé : les grands industriels de l’eau en bouteille (Nestlé et Ama Source) ont caché à la population qu’ils pompaient une eau qui était contaminée. Ils ont eu recours à des traitements interdits pour purifier leurs eaux minérales (Perrier, Contrex, Vittel et le groupe Alma Sources, </w:t>
      </w:r>
      <w:proofErr w:type="spellStart"/>
      <w:r w:rsidRPr="00CF51F5">
        <w:rPr>
          <w:sz w:val="22"/>
          <w:szCs w:val="22"/>
        </w:rPr>
        <w:t>Cristaline</w:t>
      </w:r>
      <w:proofErr w:type="spellEnd"/>
      <w:r w:rsidRPr="00CF51F5">
        <w:rPr>
          <w:sz w:val="22"/>
          <w:szCs w:val="22"/>
        </w:rPr>
        <w:t xml:space="preserve">, Saint-Yorre et Vichy Célestins). Rapidement mis au courant, le Gouvernement Macron a couvert cette affaire. </w:t>
      </w:r>
    </w:p>
    <w:p w14:paraId="424F202E" w14:textId="0B3AF227" w:rsidR="00B329C3" w:rsidRPr="00CF51F5" w:rsidRDefault="00B329C3" w:rsidP="00B329C3">
      <w:pPr>
        <w:pStyle w:val="Titre1"/>
        <w:rPr>
          <w:b w:val="0"/>
          <w:bCs w:val="0"/>
          <w:sz w:val="22"/>
          <w:szCs w:val="22"/>
        </w:rPr>
      </w:pPr>
      <w:r w:rsidRPr="00CF51F5">
        <w:rPr>
          <w:b w:val="0"/>
          <w:bCs w:val="0"/>
          <w:sz w:val="22"/>
          <w:szCs w:val="22"/>
        </w:rPr>
        <w:t>Ainsi, plutôt que de sanctionner les géants de l’industrie de l’eau en bouteille, Élisabeth Borne,</w:t>
      </w:r>
      <w:r w:rsidR="00C87390" w:rsidRPr="00CF51F5">
        <w:rPr>
          <w:b w:val="0"/>
          <w:bCs w:val="0"/>
          <w:sz w:val="22"/>
          <w:szCs w:val="22"/>
        </w:rPr>
        <w:t xml:space="preserve"> Agnès </w:t>
      </w:r>
      <w:proofErr w:type="spellStart"/>
      <w:r w:rsidR="00C87390" w:rsidRPr="00CF51F5">
        <w:rPr>
          <w:b w:val="0"/>
          <w:bCs w:val="0"/>
          <w:sz w:val="22"/>
          <w:szCs w:val="22"/>
        </w:rPr>
        <w:t>Pannier-Runacher</w:t>
      </w:r>
      <w:proofErr w:type="spellEnd"/>
      <w:r w:rsidR="00C87390" w:rsidRPr="00CF51F5">
        <w:rPr>
          <w:b w:val="0"/>
          <w:bCs w:val="0"/>
          <w:sz w:val="22"/>
          <w:szCs w:val="22"/>
        </w:rPr>
        <w:t>,</w:t>
      </w:r>
      <w:r w:rsidRPr="00CF51F5">
        <w:rPr>
          <w:b w:val="0"/>
          <w:bCs w:val="0"/>
          <w:sz w:val="22"/>
          <w:szCs w:val="22"/>
        </w:rPr>
        <w:t xml:space="preserve"> alors en poste, </w:t>
      </w:r>
      <w:r w:rsidR="00C87390" w:rsidRPr="00CF51F5">
        <w:rPr>
          <w:b w:val="0"/>
          <w:bCs w:val="0"/>
          <w:sz w:val="22"/>
          <w:szCs w:val="22"/>
        </w:rPr>
        <w:t>ont</w:t>
      </w:r>
      <w:r w:rsidRPr="00CF51F5">
        <w:rPr>
          <w:b w:val="0"/>
          <w:bCs w:val="0"/>
          <w:sz w:val="22"/>
          <w:szCs w:val="22"/>
        </w:rPr>
        <w:t xml:space="preserve"> décidé d’assouplir les règles par décret. Elle a donc permis la poursuite de la filtration mise en cause. Face à ces révélations, la députée insoumise Clémence Guetté a décidé de saisir la juste. Ainsi, elle a saisi la Procureure de la République de Paris, sur la base de l’article 40 de Procédure pénale. Toute la lumière doit être faite sur ce scandale. </w:t>
      </w:r>
    </w:p>
    <w:p w14:paraId="16E31C31" w14:textId="19D60325" w:rsidR="00C87390" w:rsidRPr="00CF51F5" w:rsidRDefault="00C87390" w:rsidP="00B329C3">
      <w:pPr>
        <w:pStyle w:val="Titre1"/>
        <w:rPr>
          <w:b w:val="0"/>
          <w:bCs w:val="0"/>
          <w:sz w:val="22"/>
          <w:szCs w:val="22"/>
        </w:rPr>
      </w:pPr>
      <w:r w:rsidRPr="00CF51F5">
        <w:rPr>
          <w:b w:val="0"/>
          <w:bCs w:val="0"/>
          <w:sz w:val="22"/>
          <w:szCs w:val="22"/>
        </w:rPr>
        <w:t xml:space="preserve">Le scandale : une fois les tricheurs découverts ce gouvernement ne les </w:t>
      </w:r>
      <w:proofErr w:type="gramStart"/>
      <w:r w:rsidRPr="00CF51F5">
        <w:rPr>
          <w:b w:val="0"/>
          <w:bCs w:val="0"/>
          <w:sz w:val="22"/>
          <w:szCs w:val="22"/>
        </w:rPr>
        <w:t>sanctionne</w:t>
      </w:r>
      <w:proofErr w:type="gramEnd"/>
      <w:r w:rsidRPr="00CF51F5">
        <w:rPr>
          <w:b w:val="0"/>
          <w:bCs w:val="0"/>
          <w:sz w:val="22"/>
          <w:szCs w:val="22"/>
        </w:rPr>
        <w:t xml:space="preserve"> pas mais change les règles. Une pratique qui se répète dangereusement pour couvrir les abus des multinationales.</w:t>
      </w:r>
    </w:p>
    <w:p w14:paraId="296B31A4" w14:textId="70ED856A" w:rsidR="00565AB8" w:rsidRDefault="00565AB8" w:rsidP="00B329C3">
      <w:pPr>
        <w:pStyle w:val="NormalWeb"/>
        <w:rPr>
          <w:b/>
          <w:bCs/>
          <w:u w:val="single"/>
        </w:rPr>
      </w:pPr>
      <w:r w:rsidRPr="00565AB8">
        <w:rPr>
          <w:b/>
          <w:bCs/>
          <w:u w:val="single"/>
        </w:rPr>
        <w:t>Agriculture</w:t>
      </w:r>
      <w:r>
        <w:rPr>
          <w:b/>
          <w:bCs/>
          <w:u w:val="single"/>
        </w:rPr>
        <w:t> :</w:t>
      </w:r>
    </w:p>
    <w:p w14:paraId="7DD82AC2" w14:textId="4E6B95EE" w:rsidR="00565AB8" w:rsidRPr="00CF51F5" w:rsidRDefault="00565AB8" w:rsidP="00B329C3">
      <w:pPr>
        <w:pStyle w:val="NormalWeb"/>
        <w:rPr>
          <w:sz w:val="22"/>
          <w:szCs w:val="22"/>
        </w:rPr>
      </w:pPr>
      <w:r w:rsidRPr="00CF51F5">
        <w:rPr>
          <w:sz w:val="22"/>
          <w:szCs w:val="22"/>
        </w:rPr>
        <w:t xml:space="preserve">Une révolte paysanne vite </w:t>
      </w:r>
      <w:proofErr w:type="gramStart"/>
      <w:r w:rsidRPr="00CF51F5">
        <w:rPr>
          <w:sz w:val="22"/>
          <w:szCs w:val="22"/>
        </w:rPr>
        <w:t>phagocytée  par</w:t>
      </w:r>
      <w:proofErr w:type="gramEnd"/>
      <w:r w:rsidRPr="00CF51F5">
        <w:rPr>
          <w:sz w:val="22"/>
          <w:szCs w:val="22"/>
        </w:rPr>
        <w:t xml:space="preserve"> la FNSEA une CR qui met de l’huile sur le feu et la confédération paysanne hésitante dans un premier temps au vu du peu de clarté dans les revendications.</w:t>
      </w:r>
    </w:p>
    <w:p w14:paraId="24BFBE54" w14:textId="0B67D536" w:rsidR="00B329C3" w:rsidRPr="00CF51F5" w:rsidRDefault="00C87390" w:rsidP="00B329C3">
      <w:pPr>
        <w:pStyle w:val="NormalWeb"/>
        <w:rPr>
          <w:sz w:val="22"/>
          <w:szCs w:val="22"/>
        </w:rPr>
      </w:pPr>
      <w:r w:rsidRPr="00CF51F5">
        <w:rPr>
          <w:sz w:val="22"/>
          <w:szCs w:val="22"/>
        </w:rPr>
        <w:t>Des déclarations du 1</w:t>
      </w:r>
      <w:r w:rsidRPr="00CF51F5">
        <w:rPr>
          <w:sz w:val="22"/>
          <w:szCs w:val="22"/>
          <w:vertAlign w:val="superscript"/>
        </w:rPr>
        <w:t>er</w:t>
      </w:r>
      <w:r w:rsidRPr="00CF51F5">
        <w:rPr>
          <w:sz w:val="22"/>
          <w:szCs w:val="22"/>
        </w:rPr>
        <w:t xml:space="preserve"> ministre qui ne laissent présager rien de bon pour notre avenir :</w:t>
      </w:r>
    </w:p>
    <w:p w14:paraId="0EDABC94" w14:textId="39B2F1CB" w:rsidR="00E76125" w:rsidRPr="00CF51F5" w:rsidRDefault="00197463">
      <w:r w:rsidRPr="00CF51F5">
        <w:t>Facilitation</w:t>
      </w:r>
      <w:r w:rsidR="003511EA" w:rsidRPr="00CF51F5">
        <w:t xml:space="preserve"> des projets de retenues collinaires et méga-bassines, mise sous tutelle préfectorale de l’Office français de la biodiversité (OFB), réduction des ambitions en matière de préservation des zones humides, maintien de la niche fiscale pour détaxer le gazole agricole…</w:t>
      </w:r>
    </w:p>
    <w:p w14:paraId="2E40146D" w14:textId="6E51433D" w:rsidR="003511EA" w:rsidRPr="00CF51F5" w:rsidRDefault="003511EA">
      <w:r w:rsidRPr="00CF51F5">
        <w:t>Alors qu’aucune mesure ne concerne</w:t>
      </w:r>
      <w:r w:rsidR="00565AB8" w:rsidRPr="00CF51F5">
        <w:t xml:space="preserve"> directement le</w:t>
      </w:r>
      <w:r w:rsidRPr="00CF51F5">
        <w:t xml:space="preserve"> revenu paysan et l’accès au foncier agricole, </w:t>
      </w:r>
      <w:r w:rsidR="00565AB8" w:rsidRPr="00CF51F5">
        <w:t xml:space="preserve">ou la retraite des </w:t>
      </w:r>
      <w:r w:rsidR="00197463" w:rsidRPr="00CF51F5">
        <w:t>paysans…</w:t>
      </w:r>
      <w:r w:rsidR="00565AB8" w:rsidRPr="00CF51F5">
        <w:t xml:space="preserve">il y a quelques mois cinq millions étaient dans la rue pour la retraite !!! </w:t>
      </w:r>
    </w:p>
    <w:p w14:paraId="5833FEE1" w14:textId="52E0367E" w:rsidR="00565AB8" w:rsidRDefault="00565AB8">
      <w:pPr>
        <w:rPr>
          <w:b/>
          <w:bCs/>
          <w:sz w:val="24"/>
          <w:szCs w:val="24"/>
          <w:u w:val="single"/>
        </w:rPr>
      </w:pPr>
      <w:r w:rsidRPr="00562386">
        <w:rPr>
          <w:b/>
          <w:bCs/>
          <w:sz w:val="24"/>
          <w:szCs w:val="24"/>
          <w:u w:val="single"/>
        </w:rPr>
        <w:t xml:space="preserve">Accords libre échange </w:t>
      </w:r>
    </w:p>
    <w:p w14:paraId="0F53F9A2" w14:textId="3FCCB029" w:rsidR="00562386" w:rsidRPr="00CF51F5" w:rsidRDefault="00562386">
      <w:r w:rsidRPr="00CF51F5">
        <w:t xml:space="preserve">Peu abordés par </w:t>
      </w:r>
      <w:r w:rsidR="003B14ED" w:rsidRPr="00CF51F5">
        <w:t>les médias</w:t>
      </w:r>
      <w:r w:rsidRPr="00CF51F5">
        <w:t xml:space="preserve"> lors des manifestations des paysans exemple d’échanges doublement pénalisants : importer de la viande de mouton de Nelle Zélande alors que nous pouvons la produire + vingt mille kilomètres de déplacements !! l’échange doublement perdant il permettra à l’Allemagne de vendre des produits industriels (voitures etc…) </w:t>
      </w:r>
    </w:p>
    <w:p w14:paraId="798200DB" w14:textId="67FFE8A0" w:rsidR="00565AB8" w:rsidRDefault="00562386">
      <w:pPr>
        <w:rPr>
          <w:b/>
          <w:bCs/>
          <w:u w:val="single"/>
        </w:rPr>
      </w:pPr>
      <w:r w:rsidRPr="00562386">
        <w:rPr>
          <w:b/>
          <w:bCs/>
          <w:u w:val="single"/>
        </w:rPr>
        <w:t xml:space="preserve">Geneviève </w:t>
      </w:r>
      <w:proofErr w:type="spellStart"/>
      <w:r w:rsidRPr="00562386">
        <w:rPr>
          <w:b/>
          <w:bCs/>
          <w:u w:val="single"/>
        </w:rPr>
        <w:t>Legay</w:t>
      </w:r>
      <w:proofErr w:type="spellEnd"/>
    </w:p>
    <w:p w14:paraId="21E22D50" w14:textId="030E5F9C" w:rsidR="00562386" w:rsidRPr="00CF51F5" w:rsidRDefault="00562386">
      <w:r w:rsidRPr="00CF51F5">
        <w:t xml:space="preserve">Il y a près de 5ans !!! Le procès du commissaire Rabah </w:t>
      </w:r>
      <w:proofErr w:type="spellStart"/>
      <w:r w:rsidRPr="00CF51F5">
        <w:t>Souchi</w:t>
      </w:r>
      <w:proofErr w:type="spellEnd"/>
      <w:r w:rsidRPr="00CF51F5">
        <w:t xml:space="preserve">, qui a ordonné la charge policière ayant gravement blessé Geneviève </w:t>
      </w:r>
      <w:proofErr w:type="spellStart"/>
      <w:r w:rsidRPr="00CF51F5">
        <w:t>Legay</w:t>
      </w:r>
      <w:proofErr w:type="spellEnd"/>
      <w:r w:rsidRPr="00CF51F5">
        <w:t xml:space="preserve">, le 23 mars 2019 à Nice, lors d’une manifestation de Gilets jaunes, c’est tenu le 11 janvier. Le procureur de Lyon considère que la charge ordonnée par le commissaire </w:t>
      </w:r>
      <w:proofErr w:type="spellStart"/>
      <w:r w:rsidRPr="00CF51F5">
        <w:t>Souchi</w:t>
      </w:r>
      <w:proofErr w:type="spellEnd"/>
      <w:r w:rsidRPr="00CF51F5">
        <w:t xml:space="preserve"> </w:t>
      </w:r>
      <w:r w:rsidRPr="00CF51F5">
        <w:rPr>
          <w:i/>
          <w:iCs/>
        </w:rPr>
        <w:t>« n’était ni proportionnée ni nécessaire à la situation en cause »</w:t>
      </w:r>
      <w:r w:rsidRPr="00CF51F5">
        <w:t xml:space="preserve">. </w:t>
      </w:r>
      <w:proofErr w:type="gramStart"/>
      <w:r w:rsidRPr="00CF51F5">
        <w:t>ce</w:t>
      </w:r>
      <w:proofErr w:type="gramEnd"/>
      <w:r w:rsidRPr="00CF51F5">
        <w:t xml:space="preserve"> n’est donc pas le policier qui a été condamné mais le donneur d’ordre.</w:t>
      </w:r>
    </w:p>
    <w:p w14:paraId="1FD7A2D2" w14:textId="4BBBF516" w:rsidR="00565AB8" w:rsidRPr="00CF51F5" w:rsidRDefault="00562386">
      <w:pPr>
        <w:rPr>
          <w:b/>
          <w:bCs/>
          <w:u w:val="single"/>
        </w:rPr>
      </w:pPr>
      <w:r w:rsidRPr="00CF51F5">
        <w:rPr>
          <w:b/>
          <w:bCs/>
          <w:u w:val="single"/>
        </w:rPr>
        <w:t>GAZA :  Mercredi(s) passés et suivants ?</w:t>
      </w:r>
      <w:r w:rsidR="00CF51F5" w:rsidRPr="00CF51F5">
        <w:rPr>
          <w:b/>
          <w:bCs/>
          <w:u w:val="single"/>
        </w:rPr>
        <w:t xml:space="preserve"> rdv mercredi 17h30 s/</w:t>
      </w:r>
      <w:proofErr w:type="spellStart"/>
      <w:r w:rsidR="00CF51F5" w:rsidRPr="00CF51F5">
        <w:rPr>
          <w:b/>
          <w:bCs/>
          <w:u w:val="single"/>
        </w:rPr>
        <w:t>pref</w:t>
      </w:r>
      <w:proofErr w:type="spellEnd"/>
      <w:r w:rsidR="00CF51F5" w:rsidRPr="00CF51F5">
        <w:rPr>
          <w:b/>
          <w:bCs/>
          <w:u w:val="single"/>
        </w:rPr>
        <w:t xml:space="preserve"> de St Go voir </w:t>
      </w:r>
      <w:hyperlink r:id="rId4" w:history="1">
        <w:r w:rsidR="00CF51F5" w:rsidRPr="00CF51F5">
          <w:rPr>
            <w:rStyle w:val="Lienhypertexte"/>
            <w:b/>
            <w:bCs/>
          </w:rPr>
          <w:t>( cliquer ICI</w:t>
        </w:r>
      </w:hyperlink>
      <w:r w:rsidR="00CF51F5" w:rsidRPr="00CF51F5">
        <w:rPr>
          <w:b/>
          <w:bCs/>
          <w:u w:val="single"/>
        </w:rPr>
        <w:t xml:space="preserve"> )</w:t>
      </w:r>
    </w:p>
    <w:p w14:paraId="78A71022" w14:textId="13CF6CC1" w:rsidR="00562386" w:rsidRDefault="00562386">
      <w:pPr>
        <w:rPr>
          <w:b/>
          <w:bCs/>
          <w:i/>
          <w:iCs/>
        </w:rPr>
      </w:pPr>
      <w:r w:rsidRPr="00CF51F5">
        <w:t>Atterrés par la cupidité du monde occidental</w:t>
      </w:r>
      <w:r w:rsidR="00CF51F5" w:rsidRPr="00CF51F5">
        <w:t xml:space="preserve"> : Plusieurs pays ont décidé de suspendre leur financement de l'UNRWA, l'Office de secours et de travaux des Nations unies pour les réfugiés de Palestine dans le Proche-Orient. Tout ceci au moment de la condamnation de l’état d’Israël : </w:t>
      </w:r>
      <w:r w:rsidR="00CF51F5" w:rsidRPr="00CF51F5">
        <w:rPr>
          <w:b/>
          <w:bCs/>
          <w:i/>
          <w:iCs/>
        </w:rPr>
        <w:t xml:space="preserve">La Cour internationale de justice appelle Israël à faire tout son possible pour empêcher tout acte de </w:t>
      </w:r>
      <w:r w:rsidR="00CF51F5" w:rsidRPr="00CF51F5">
        <w:rPr>
          <w:rStyle w:val="Accentuation"/>
          <w:b/>
          <w:bCs/>
          <w:i w:val="0"/>
          <w:iCs w:val="0"/>
        </w:rPr>
        <w:t>"génocide"</w:t>
      </w:r>
      <w:r w:rsidR="00CF51F5" w:rsidRPr="00CF51F5">
        <w:rPr>
          <w:b/>
          <w:bCs/>
          <w:i/>
          <w:iCs/>
        </w:rPr>
        <w:t xml:space="preserve"> contre le peuple palestinien et à laisse</w:t>
      </w:r>
      <w:r w:rsidR="006057E4">
        <w:rPr>
          <w:b/>
          <w:bCs/>
          <w:i/>
          <w:iCs/>
        </w:rPr>
        <w:t>r</w:t>
      </w:r>
      <w:r w:rsidR="00CF51F5" w:rsidRPr="00CF51F5">
        <w:rPr>
          <w:b/>
          <w:bCs/>
          <w:i/>
          <w:iCs/>
        </w:rPr>
        <w:t xml:space="preserve"> entrer l'aide humanitaire dans la bande de Gaza.</w:t>
      </w:r>
      <w:r w:rsidR="00197463">
        <w:rPr>
          <w:b/>
          <w:bCs/>
          <w:i/>
          <w:iCs/>
        </w:rPr>
        <w:t xml:space="preserve"> </w:t>
      </w:r>
      <w:hyperlink r:id="rId5" w:history="1">
        <w:r w:rsidR="00197463" w:rsidRPr="00197463">
          <w:rPr>
            <w:rStyle w:val="Lienhypertexte"/>
            <w:b/>
            <w:bCs/>
            <w:i/>
            <w:iCs/>
          </w:rPr>
          <w:t>(Nations unies info clique ici )</w:t>
        </w:r>
      </w:hyperlink>
    </w:p>
    <w:p w14:paraId="461A79D9" w14:textId="620CEFB9" w:rsidR="00CF51F5" w:rsidRDefault="00CF51F5">
      <w:r w:rsidRPr="00CF51F5">
        <w:rPr>
          <w:rFonts w:eastAsia="Symbol"/>
          <w:b/>
          <w:bCs/>
          <w:sz w:val="14"/>
          <w:szCs w:val="14"/>
          <w:u w:val="single"/>
        </w:rPr>
        <w:t xml:space="preserve">  </w:t>
      </w:r>
      <w:r w:rsidRPr="00CF51F5">
        <w:rPr>
          <w:b/>
          <w:bCs/>
          <w:u w:val="single"/>
        </w:rPr>
        <w:t>Préparation 8 mars</w:t>
      </w:r>
      <w:r>
        <w:rPr>
          <w:b/>
          <w:bCs/>
          <w:u w:val="single"/>
        </w:rPr>
        <w:t xml:space="preserve"> :    </w:t>
      </w:r>
      <w:r w:rsidRPr="00CF51F5">
        <w:t xml:space="preserve">En cours </w:t>
      </w:r>
    </w:p>
    <w:p w14:paraId="69F5C843" w14:textId="05A8808A" w:rsidR="00197463" w:rsidRDefault="00CF51F5">
      <w:r w:rsidRPr="00197463">
        <w:rPr>
          <w:b/>
          <w:bCs/>
          <w:u w:val="single"/>
        </w:rPr>
        <w:t xml:space="preserve">Cinéma </w:t>
      </w:r>
      <w:r w:rsidR="006057E4">
        <w:rPr>
          <w:b/>
          <w:bCs/>
          <w:u w:val="single"/>
        </w:rPr>
        <w:t>jeudi 8 février à 20h30</w:t>
      </w:r>
      <w:r w:rsidR="00197463" w:rsidRPr="00197463">
        <w:rPr>
          <w:b/>
          <w:bCs/>
          <w:u w:val="single"/>
        </w:rPr>
        <w:t> :</w:t>
      </w:r>
      <w:r w:rsidR="00197463">
        <w:t xml:space="preserve"> </w:t>
      </w:r>
    </w:p>
    <w:p w14:paraId="5B97053B" w14:textId="695BD124" w:rsidR="00CF51F5" w:rsidRDefault="00197463">
      <w:r>
        <w:t>« La ferme des Bertrand »   en présence du réalisateur Gilles Perret (</w:t>
      </w:r>
      <w:hyperlink r:id="rId6" w:history="1">
        <w:r w:rsidRPr="00197463">
          <w:rPr>
            <w:rStyle w:val="Lienhypertexte"/>
          </w:rPr>
          <w:t>cliquer ICI</w:t>
        </w:r>
      </w:hyperlink>
      <w:r>
        <w:t xml:space="preserve"> )</w:t>
      </w:r>
    </w:p>
    <w:p w14:paraId="22A02EE6" w14:textId="0DE236FB" w:rsidR="00272C4B" w:rsidRPr="00272C4B" w:rsidRDefault="00272C4B" w:rsidP="00272C4B">
      <w:pPr>
        <w:jc w:val="center"/>
        <w:rPr>
          <w:b/>
          <w:bCs/>
          <w:sz w:val="28"/>
          <w:u w:val="single"/>
        </w:rPr>
      </w:pPr>
      <w:r w:rsidRPr="00272C4B">
        <w:rPr>
          <w:b/>
          <w:sz w:val="28"/>
        </w:rPr>
        <w:t>Prochaine réunion le lundi 4 mars</w:t>
      </w:r>
    </w:p>
    <w:sectPr w:rsidR="00272C4B" w:rsidRPr="00272C4B" w:rsidSect="00C874AD">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C3"/>
    <w:rsid w:val="00197463"/>
    <w:rsid w:val="00272C4B"/>
    <w:rsid w:val="003511EA"/>
    <w:rsid w:val="00371081"/>
    <w:rsid w:val="003B14ED"/>
    <w:rsid w:val="00541924"/>
    <w:rsid w:val="00562386"/>
    <w:rsid w:val="00565AB8"/>
    <w:rsid w:val="006057E4"/>
    <w:rsid w:val="00B329C3"/>
    <w:rsid w:val="00B603DD"/>
    <w:rsid w:val="00C87390"/>
    <w:rsid w:val="00C874AD"/>
    <w:rsid w:val="00CF51F5"/>
    <w:rsid w:val="00E76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84F4"/>
  <w15:chartTrackingRefBased/>
  <w15:docId w15:val="{31C26C6A-BB51-487D-A7BC-E1B1D5EB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32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29C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tre1Car">
    <w:name w:val="Titre 1 Car"/>
    <w:basedOn w:val="Policepardfaut"/>
    <w:link w:val="Titre1"/>
    <w:uiPriority w:val="9"/>
    <w:rsid w:val="00B329C3"/>
    <w:rPr>
      <w:rFonts w:ascii="Times New Roman" w:eastAsia="Times New Roman" w:hAnsi="Times New Roman" w:cs="Times New Roman"/>
      <w:b/>
      <w:bCs/>
      <w:kern w:val="36"/>
      <w:sz w:val="48"/>
      <w:szCs w:val="48"/>
      <w:lang w:eastAsia="fr-FR"/>
      <w14:ligatures w14:val="none"/>
    </w:rPr>
  </w:style>
  <w:style w:type="character" w:customStyle="1" w:styleId="mw-page-title-main">
    <w:name w:val="mw-page-title-main"/>
    <w:basedOn w:val="Policepardfaut"/>
    <w:rsid w:val="00B329C3"/>
  </w:style>
  <w:style w:type="character" w:styleId="Accentuation">
    <w:name w:val="Emphasis"/>
    <w:basedOn w:val="Policepardfaut"/>
    <w:uiPriority w:val="20"/>
    <w:qFormat/>
    <w:rsid w:val="00CF51F5"/>
    <w:rPr>
      <w:i/>
      <w:iCs/>
    </w:rPr>
  </w:style>
  <w:style w:type="character" w:styleId="Lienhypertexte">
    <w:name w:val="Hyperlink"/>
    <w:basedOn w:val="Policepardfaut"/>
    <w:uiPriority w:val="99"/>
    <w:unhideWhenUsed/>
    <w:rsid w:val="00CF51F5"/>
    <w:rPr>
      <w:color w:val="0563C1" w:themeColor="hyperlink"/>
      <w:u w:val="single"/>
    </w:rPr>
  </w:style>
  <w:style w:type="character" w:customStyle="1" w:styleId="Mentionnonrsolue1">
    <w:name w:val="Mention non résolue1"/>
    <w:basedOn w:val="Policepardfaut"/>
    <w:uiPriority w:val="99"/>
    <w:semiHidden/>
    <w:unhideWhenUsed/>
    <w:rsid w:val="00CF51F5"/>
    <w:rPr>
      <w:color w:val="605E5C"/>
      <w:shd w:val="clear" w:color="auto" w:fill="E1DFDD"/>
    </w:rPr>
  </w:style>
  <w:style w:type="character" w:styleId="Lienhypertextesuivivisit">
    <w:name w:val="FollowedHyperlink"/>
    <w:basedOn w:val="Policepardfaut"/>
    <w:uiPriority w:val="99"/>
    <w:semiHidden/>
    <w:unhideWhenUsed/>
    <w:rsid w:val="00197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882635">
      <w:bodyDiv w:val="1"/>
      <w:marLeft w:val="0"/>
      <w:marRight w:val="0"/>
      <w:marTop w:val="0"/>
      <w:marBottom w:val="0"/>
      <w:divBdr>
        <w:top w:val="none" w:sz="0" w:space="0" w:color="auto"/>
        <w:left w:val="none" w:sz="0" w:space="0" w:color="auto"/>
        <w:bottom w:val="none" w:sz="0" w:space="0" w:color="auto"/>
        <w:right w:val="none" w:sz="0" w:space="0" w:color="auto"/>
      </w:divBdr>
    </w:div>
    <w:div w:id="16179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taccomminges.fr/wp-admin/post.php?post=8937&amp;action=edit" TargetMode="External"/><Relationship Id="rId5" Type="http://schemas.openxmlformats.org/officeDocument/2006/relationships/hyperlink" Target="https://news.un.org/fr/story/2024/01/1142662" TargetMode="External"/><Relationship Id="rId4" Type="http://schemas.openxmlformats.org/officeDocument/2006/relationships/hyperlink" Target="http://www.attaccomminges.fr/2024/02/05/vigie-gaza-stop-genocide-cessez-le-feu-immedi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3368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Ducasse</dc:creator>
  <cp:keywords/>
  <dc:description/>
  <cp:lastModifiedBy>Bernard Ducasse</cp:lastModifiedBy>
  <cp:revision>5</cp:revision>
  <cp:lastPrinted>2024-02-05T18:47:00Z</cp:lastPrinted>
  <dcterms:created xsi:type="dcterms:W3CDTF">2024-02-06T09:56:00Z</dcterms:created>
  <dcterms:modified xsi:type="dcterms:W3CDTF">2024-04-14T16:51:00Z</dcterms:modified>
</cp:coreProperties>
</file>